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B6F9D" w:rsidRDefault="00B803A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Arimo" w:eastAsia="Arimo" w:hAnsi="Arimo" w:cs="Arimo"/>
          <w:noProof/>
          <w:sz w:val="36"/>
          <w:szCs w:val="36"/>
        </w:rPr>
        <w:drawing>
          <wp:inline distT="114300" distB="114300" distL="114300" distR="114300">
            <wp:extent cx="5731200" cy="11811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F9D" w:rsidRDefault="00B803AE">
      <w:pPr>
        <w:pStyle w:val="a3"/>
        <w:jc w:val="center"/>
        <w:rPr>
          <w:rFonts w:ascii="Times New Roman" w:eastAsia="Times New Roman" w:hAnsi="Times New Roman" w:cs="Times New Roman"/>
          <w:sz w:val="50"/>
          <w:szCs w:val="50"/>
        </w:rPr>
      </w:pPr>
      <w:bookmarkStart w:id="0" w:name="_1dgnvzluktdo" w:colFirst="0" w:colLast="0"/>
      <w:bookmarkStart w:id="1" w:name="_GoBack"/>
      <w:bookmarkEnd w:id="0"/>
      <w:r>
        <w:rPr>
          <w:rFonts w:ascii="Gungsuh" w:eastAsia="Gungsuh" w:hAnsi="Gungsuh" w:cs="Gungsuh"/>
          <w:sz w:val="50"/>
          <w:szCs w:val="50"/>
        </w:rPr>
        <w:t>2024</w:t>
      </w:r>
      <w:r>
        <w:rPr>
          <w:rFonts w:ascii="Gungsuh" w:eastAsia="Gungsuh" w:hAnsi="Gungsuh" w:cs="Gungsuh"/>
          <w:sz w:val="50"/>
          <w:szCs w:val="50"/>
        </w:rPr>
        <w:t>民間司改會校園</w:t>
      </w:r>
      <w:proofErr w:type="gramStart"/>
      <w:r>
        <w:rPr>
          <w:rFonts w:ascii="Gungsuh" w:eastAsia="Gungsuh" w:hAnsi="Gungsuh" w:cs="Gungsuh"/>
          <w:sz w:val="50"/>
          <w:szCs w:val="50"/>
        </w:rPr>
        <w:t>法治巡講合作</w:t>
      </w:r>
      <w:proofErr w:type="gramEnd"/>
      <w:r>
        <w:rPr>
          <w:rFonts w:ascii="Gungsuh" w:eastAsia="Gungsuh" w:hAnsi="Gungsuh" w:cs="Gungsuh"/>
          <w:sz w:val="50"/>
          <w:szCs w:val="50"/>
        </w:rPr>
        <w:t>計畫</w:t>
      </w:r>
    </w:p>
    <w:p w:rsidR="00BB6F9D" w:rsidRDefault="00B803AE">
      <w:pPr>
        <w:pStyle w:val="1"/>
        <w:rPr>
          <w:rFonts w:ascii="Times New Roman" w:eastAsia="Times New Roman" w:hAnsi="Times New Roman" w:cs="Times New Roman"/>
        </w:rPr>
      </w:pPr>
      <w:bookmarkStart w:id="2" w:name="_30j0zll" w:colFirst="0" w:colLast="0"/>
      <w:bookmarkEnd w:id="2"/>
      <w:bookmarkEnd w:id="1"/>
      <w:r>
        <w:rPr>
          <w:rFonts w:ascii="Gungsuh" w:eastAsia="Gungsuh" w:hAnsi="Gungsuh" w:cs="Gungsuh"/>
        </w:rPr>
        <w:t>一、民間司改會簡介</w:t>
      </w:r>
    </w:p>
    <w:p w:rsidR="00BB6F9D" w:rsidRDefault="00B803A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財團法人民間司法改革基金會（以下簡稱民間司改會）長期致力於結合民間力量，監督</w:t>
      </w:r>
      <w:proofErr w:type="gramStart"/>
      <w:r>
        <w:rPr>
          <w:rFonts w:ascii="Gungsuh" w:eastAsia="Gungsuh" w:hAnsi="Gungsuh" w:cs="Gungsuh"/>
          <w:sz w:val="24"/>
          <w:szCs w:val="24"/>
        </w:rPr>
        <w:t>司法妥</w:t>
      </w:r>
      <w:proofErr w:type="gramEnd"/>
      <w:r>
        <w:rPr>
          <w:rFonts w:ascii="Gungsuh" w:eastAsia="Gungsuh" w:hAnsi="Gungsuh" w:cs="Gungsuh"/>
          <w:sz w:val="24"/>
          <w:szCs w:val="24"/>
        </w:rPr>
        <w:t>適運作，持續推動及促使司法認真改革，主要工作是法案推動、個案救援、監督與人權、法治素養推廣。</w:t>
      </w:r>
    </w:p>
    <w:p w:rsidR="00BB6F9D" w:rsidRDefault="00B803AE">
      <w:pPr>
        <w:pStyle w:val="1"/>
        <w:rPr>
          <w:rFonts w:ascii="Times New Roman" w:eastAsia="Times New Roman" w:hAnsi="Times New Roman" w:cs="Times New Roman"/>
        </w:rPr>
      </w:pPr>
      <w:bookmarkStart w:id="3" w:name="_1fob9te" w:colFirst="0" w:colLast="0"/>
      <w:bookmarkEnd w:id="3"/>
      <w:r>
        <w:rPr>
          <w:rFonts w:ascii="Gungsuh" w:eastAsia="Gungsuh" w:hAnsi="Gungsuh" w:cs="Gungsuh"/>
        </w:rPr>
        <w:t>二、學習資源</w:t>
      </w:r>
    </w:p>
    <w:p w:rsidR="00BB6F9D" w:rsidRDefault="00B803AE">
      <w:pPr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Gungsuh" w:eastAsia="Gungsuh" w:hAnsi="Gungsuh" w:cs="Gungsuh"/>
          <w:sz w:val="24"/>
          <w:szCs w:val="24"/>
        </w:rPr>
        <w:t>基於培養法治素養，落實民主法治，保障司法人權的教育目的，民間司改會配合國民教育「公平正義之理念」、「法律與法治的意義」、「法律之實體與程序的知識與技能」等學習主題，我們希望能讓更多老師、學生從民間司改會的救援個案及推動議題，對於司法改革有</w:t>
      </w:r>
      <w:proofErr w:type="gramStart"/>
      <w:r>
        <w:rPr>
          <w:rFonts w:ascii="Gungsuh" w:eastAsia="Gungsuh" w:hAnsi="Gungsuh" w:cs="Gungsuh"/>
          <w:sz w:val="24"/>
          <w:szCs w:val="24"/>
        </w:rPr>
        <w:t>加深加廣的</w:t>
      </w:r>
      <w:proofErr w:type="gramEnd"/>
      <w:r>
        <w:rPr>
          <w:rFonts w:ascii="Gungsuh" w:eastAsia="Gungsuh" w:hAnsi="Gungsuh" w:cs="Gungsuh"/>
          <w:sz w:val="24"/>
          <w:szCs w:val="24"/>
        </w:rPr>
        <w:t>認識，而提供兩類學習資源供教師選擇，簡單列舉如下：</w:t>
      </w:r>
    </w:p>
    <w:p w:rsidR="00BB6F9D" w:rsidRDefault="00B803AE">
      <w:pPr>
        <w:pStyle w:val="2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bookmarkStart w:id="4" w:name="_1f98vurtwsix" w:colFirst="0" w:colLast="0"/>
      <w:bookmarkEnd w:id="4"/>
      <w:r>
        <w:rPr>
          <w:rFonts w:ascii="Gungsuh" w:eastAsia="Gungsuh" w:hAnsi="Gungsuh" w:cs="Gungsuh"/>
        </w:rPr>
        <w:t>（一）模擬法庭</w:t>
      </w:r>
    </w:p>
    <w:p w:rsidR="00BB6F9D" w:rsidRDefault="00B803AE">
      <w:pPr>
        <w:spacing w:before="360" w:after="3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民間司改會之「國民法官模擬法庭」和「陪審制模擬法庭」兩類教案，有助於協助學生認識「人民參與刑事審判」及司法議題，並進一步了解法庭活動程序，互動式、</w:t>
      </w:r>
      <w:proofErr w:type="gramStart"/>
      <w:r>
        <w:rPr>
          <w:rFonts w:ascii="Gungsuh" w:eastAsia="Gungsuh" w:hAnsi="Gungsuh" w:cs="Gungsuh"/>
          <w:sz w:val="24"/>
          <w:szCs w:val="24"/>
        </w:rPr>
        <w:t>沈浸式的角色</w:t>
      </w:r>
      <w:proofErr w:type="gramEnd"/>
      <w:r>
        <w:rPr>
          <w:rFonts w:ascii="Gungsuh" w:eastAsia="Gungsuh" w:hAnsi="Gungsuh" w:cs="Gungsuh"/>
          <w:sz w:val="24"/>
          <w:szCs w:val="24"/>
        </w:rPr>
        <w:t>扮演，能有效幫助參與者更立體且深刻的體</w:t>
      </w:r>
      <w:r>
        <w:rPr>
          <w:rFonts w:ascii="Gungsuh" w:eastAsia="Gungsuh" w:hAnsi="Gungsuh" w:cs="Gungsuh"/>
          <w:sz w:val="24"/>
          <w:szCs w:val="24"/>
        </w:rPr>
        <w:t>驗審理原則，了解如何當個有批判能力的國民法官。模擬法庭活動亦可搭配「人民參與審判制度（國民法官）專題演講」或影片賞析、</w:t>
      </w:r>
      <w:proofErr w:type="gramStart"/>
      <w:r>
        <w:rPr>
          <w:rFonts w:ascii="Gungsuh" w:eastAsia="Gungsuh" w:hAnsi="Gungsuh" w:cs="Gungsuh"/>
          <w:sz w:val="24"/>
          <w:szCs w:val="24"/>
        </w:rPr>
        <w:t>或冤</w:t>
      </w:r>
      <w:proofErr w:type="gramEnd"/>
      <w:r>
        <w:rPr>
          <w:rFonts w:ascii="Gungsuh" w:eastAsia="Gungsuh" w:hAnsi="Gungsuh" w:cs="Gungsuh"/>
          <w:sz w:val="24"/>
          <w:szCs w:val="24"/>
        </w:rPr>
        <w:t>/</w:t>
      </w:r>
      <w:r>
        <w:rPr>
          <w:rFonts w:ascii="Gungsuh" w:eastAsia="Gungsuh" w:hAnsi="Gungsuh" w:cs="Gungsuh"/>
          <w:sz w:val="24"/>
          <w:szCs w:val="24"/>
        </w:rPr>
        <w:t>錯個案解析，歡迎有意合作課程的學校教師、機構和團體等，聯繫本會洽談需求和執行方式。</w:t>
      </w:r>
    </w:p>
    <w:p w:rsidR="00BB6F9D" w:rsidRDefault="00B803AE">
      <w:pPr>
        <w:spacing w:before="360" w:after="3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法庭劇內容以常見的刑事犯罪案例編寫劇本，透過簡易的法庭配置，由同學演出案件角色，主辦單位可以選擇採用陪審法庭、或國民法官法庭，來進行審理程序的模擬體驗。參與者透過評議，就各自紀錄的論點彼此討論、說服的過程中，同時也挑戰參與者能否遵守無罪推定的原則，除了思辨和對話，也開啟思考台灣司法問題的途徑。</w:t>
      </w:r>
    </w:p>
    <w:p w:rsidR="00BB6F9D" w:rsidRDefault="00B803AE">
      <w:pPr>
        <w:pStyle w:val="2"/>
        <w:spacing w:after="360"/>
        <w:ind w:left="720"/>
        <w:rPr>
          <w:rFonts w:ascii="Times New Roman" w:eastAsia="Times New Roman" w:hAnsi="Times New Roman" w:cs="Times New Roman"/>
        </w:rPr>
      </w:pPr>
      <w:bookmarkStart w:id="5" w:name="_6oeij8ulx4j9" w:colFirst="0" w:colLast="0"/>
      <w:bookmarkEnd w:id="5"/>
      <w:r>
        <w:rPr>
          <w:rFonts w:ascii="Gungsuh" w:eastAsia="Gungsuh" w:hAnsi="Gungsuh" w:cs="Gungsuh"/>
        </w:rPr>
        <w:lastRenderedPageBreak/>
        <w:t>（二）專</w:t>
      </w:r>
      <w:r>
        <w:rPr>
          <w:rFonts w:ascii="Gungsuh" w:eastAsia="Gungsuh" w:hAnsi="Gungsuh" w:cs="Gungsuh"/>
        </w:rPr>
        <w:t>題演講</w:t>
      </w:r>
    </w:p>
    <w:p w:rsidR="00BB6F9D" w:rsidRDefault="00B803AE">
      <w:pPr>
        <w:spacing w:after="20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民間司改會之救援個案及推動議題的講座，可提供</w:t>
      </w:r>
      <w:proofErr w:type="gramStart"/>
      <w:r>
        <w:rPr>
          <w:rFonts w:ascii="Gungsuh" w:eastAsia="Gungsuh" w:hAnsi="Gungsuh" w:cs="Gungsuh"/>
          <w:sz w:val="24"/>
          <w:szCs w:val="24"/>
        </w:rPr>
        <w:t>加深加廣認識</w:t>
      </w:r>
      <w:proofErr w:type="gramEnd"/>
      <w:r>
        <w:rPr>
          <w:rFonts w:ascii="Gungsuh" w:eastAsia="Gungsuh" w:hAnsi="Gungsuh" w:cs="Gungsuh"/>
          <w:sz w:val="24"/>
          <w:szCs w:val="24"/>
        </w:rPr>
        <w:t>司法改革及人權保障的學習機會。講題摘</w:t>
      </w:r>
      <w:proofErr w:type="gramStart"/>
      <w:r>
        <w:rPr>
          <w:rFonts w:ascii="Gungsuh" w:eastAsia="Gungsuh" w:hAnsi="Gungsuh" w:cs="Gungsuh"/>
          <w:sz w:val="24"/>
          <w:szCs w:val="24"/>
        </w:rPr>
        <w:t>列如</w:t>
      </w:r>
      <w:proofErr w:type="gramEnd"/>
      <w:r>
        <w:rPr>
          <w:rFonts w:ascii="Gungsuh" w:eastAsia="Gungsuh" w:hAnsi="Gungsuh" w:cs="Gungsuh"/>
          <w:sz w:val="24"/>
          <w:szCs w:val="24"/>
        </w:rPr>
        <w:t>下：</w:t>
      </w:r>
    </w:p>
    <w:tbl>
      <w:tblPr>
        <w:tblStyle w:val="a5"/>
        <w:tblW w:w="9720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8805"/>
      </w:tblGrid>
      <w:tr w:rsidR="00BB6F9D">
        <w:trPr>
          <w:tblHeader/>
        </w:trPr>
        <w:tc>
          <w:tcPr>
            <w:tcW w:w="915" w:type="dxa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Gungsuh" w:eastAsia="Gungsuh" w:hAnsi="Gungsuh" w:cs="Gungsuh"/>
                <w:b/>
                <w:sz w:val="24"/>
                <w:szCs w:val="24"/>
              </w:rPr>
              <w:t>類型</w:t>
            </w:r>
          </w:p>
        </w:tc>
        <w:tc>
          <w:tcPr>
            <w:tcW w:w="88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F1F3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Gungsuh" w:eastAsia="Gungsuh" w:hAnsi="Gungsuh" w:cs="Gungsuh"/>
                <w:b/>
                <w:sz w:val="24"/>
                <w:szCs w:val="24"/>
              </w:rPr>
              <w:t>內容簡介</w:t>
            </w:r>
          </w:p>
        </w:tc>
      </w:tr>
      <w:tr w:rsidR="00BB6F9D">
        <w:trPr>
          <w:trHeight w:val="440"/>
        </w:trPr>
        <w:tc>
          <w:tcPr>
            <w:tcW w:w="915" w:type="dxa"/>
            <w:vMerge w:val="restart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個案</w:t>
            </w:r>
          </w:p>
        </w:tc>
        <w:tc>
          <w:tcPr>
            <w:tcW w:w="88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邱和順案</w:t>
            </w:r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r>
              <w:rPr>
                <w:rFonts w:ascii="Gungsuh" w:eastAsia="Gungsuh" w:hAnsi="Gungsuh" w:cs="Gungsuh"/>
              </w:rPr>
              <w:t>1988</w:t>
            </w:r>
            <w:r>
              <w:rPr>
                <w:rFonts w:ascii="Gungsuh" w:eastAsia="Gungsuh" w:hAnsi="Gungsuh" w:cs="Gungsuh"/>
              </w:rPr>
              <w:t>年，台北市警局刑警大隊依秘密證人的指述，循線逮捕了邱和順等</w:t>
            </w:r>
            <w:r>
              <w:rPr>
                <w:rFonts w:ascii="Gungsuh" w:eastAsia="Gungsuh" w:hAnsi="Gungsuh" w:cs="Gungsuh"/>
              </w:rPr>
              <w:t>12</w:t>
            </w:r>
            <w:r>
              <w:rPr>
                <w:rFonts w:ascii="Gungsuh" w:eastAsia="Gungsuh" w:hAnsi="Gungsuh" w:cs="Gungsuh"/>
              </w:rPr>
              <w:t>名被告，指控他們共同犯下</w:t>
            </w:r>
            <w:r>
              <w:rPr>
                <w:rFonts w:ascii="Gungsuh" w:eastAsia="Gungsuh" w:hAnsi="Gungsuh" w:cs="Gungsuh"/>
              </w:rPr>
              <w:t>1987</w:t>
            </w:r>
            <w:r>
              <w:rPr>
                <w:rFonts w:ascii="Gungsuh" w:eastAsia="Gungsuh" w:hAnsi="Gungsuh" w:cs="Gungsuh"/>
              </w:rPr>
              <w:t>年</w:t>
            </w:r>
            <w:r>
              <w:rPr>
                <w:rFonts w:ascii="Gungsuh" w:eastAsia="Gungsuh" w:hAnsi="Gungsuh" w:cs="Gungsuh"/>
              </w:rPr>
              <w:t>11</w:t>
            </w:r>
            <w:r>
              <w:rPr>
                <w:rFonts w:ascii="Gungsuh" w:eastAsia="Gungsuh" w:hAnsi="Gungsuh" w:cs="Gungsuh"/>
              </w:rPr>
              <w:t>月苗栗縣女保險員</w:t>
            </w:r>
            <w:proofErr w:type="gramStart"/>
            <w:r>
              <w:rPr>
                <w:rFonts w:ascii="Gungsuh" w:eastAsia="Gungsuh" w:hAnsi="Gungsuh" w:cs="Gungsuh"/>
              </w:rPr>
              <w:t>柯洪玉蘭分屍</w:t>
            </w:r>
            <w:proofErr w:type="gramEnd"/>
            <w:r>
              <w:rPr>
                <w:rFonts w:ascii="Gungsuh" w:eastAsia="Gungsuh" w:hAnsi="Gungsuh" w:cs="Gungsuh"/>
              </w:rPr>
              <w:t>案，以及同年</w:t>
            </w:r>
            <w:r>
              <w:rPr>
                <w:rFonts w:ascii="Gungsuh" w:eastAsia="Gungsuh" w:hAnsi="Gungsuh" w:cs="Gungsuh"/>
              </w:rPr>
              <w:t>12</w:t>
            </w:r>
            <w:r>
              <w:rPr>
                <w:rFonts w:ascii="Gungsuh" w:eastAsia="Gungsuh" w:hAnsi="Gungsuh" w:cs="Gungsuh"/>
              </w:rPr>
              <w:t>月震驚社會的新竹學童陸正綁架案。然而，兩個</w:t>
            </w:r>
            <w:proofErr w:type="gramStart"/>
            <w:r>
              <w:rPr>
                <w:rFonts w:ascii="Gungsuh" w:eastAsia="Gungsuh" w:hAnsi="Gungsuh" w:cs="Gungsuh"/>
              </w:rPr>
              <w:t>案件皆查無任</w:t>
            </w:r>
            <w:proofErr w:type="gramEnd"/>
            <w:r>
              <w:rPr>
                <w:rFonts w:ascii="Gungsuh" w:eastAsia="Gungsuh" w:hAnsi="Gungsuh" w:cs="Gungsuh"/>
              </w:rPr>
              <w:t>何證據可證明邱和順等被告確實涉案。檢方的控訴，完全是建立在被告等人的</w:t>
            </w:r>
            <w:r>
              <w:rPr>
                <w:rFonts w:ascii="Gungsuh" w:eastAsia="Gungsuh" w:hAnsi="Gungsuh" w:cs="Gungsuh"/>
              </w:rPr>
              <w:t>288</w:t>
            </w:r>
            <w:r>
              <w:rPr>
                <w:rFonts w:ascii="Gungsuh" w:eastAsia="Gungsuh" w:hAnsi="Gungsuh" w:cs="Gungsuh"/>
              </w:rPr>
              <w:t>份自白筆錄上全案充滿瑕疵，被告的自白前後矛盾。邱和順是受國際關注的台灣死刑犯，隨時可能被執行。不公平的審判讓他冤屈地在獄中度過了上萬</w:t>
            </w:r>
            <w:proofErr w:type="gramStart"/>
            <w:r>
              <w:rPr>
                <w:rFonts w:ascii="Gungsuh" w:eastAsia="Gungsuh" w:hAnsi="Gungsuh" w:cs="Gungsuh"/>
              </w:rPr>
              <w:t>個</w:t>
            </w:r>
            <w:proofErr w:type="gramEnd"/>
            <w:r>
              <w:rPr>
                <w:rFonts w:ascii="Gungsuh" w:eastAsia="Gungsuh" w:hAnsi="Gungsuh" w:cs="Gungsuh"/>
              </w:rPr>
              <w:t>日子</w:t>
            </w:r>
            <w:r>
              <w:rPr>
                <w:rFonts w:ascii="Gungsuh" w:eastAsia="Gungsuh" w:hAnsi="Gungsuh" w:cs="Gungsuh"/>
              </w:rPr>
              <w:t>……</w:t>
            </w:r>
          </w:p>
        </w:tc>
      </w:tr>
      <w:tr w:rsidR="00BB6F9D">
        <w:trPr>
          <w:trHeight w:val="440"/>
        </w:trPr>
        <w:tc>
          <w:tcPr>
            <w:tcW w:w="915" w:type="dxa"/>
            <w:vMerge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B6F9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ind w:left="9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王隆昌案</w:t>
            </w:r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r>
              <w:rPr>
                <w:rFonts w:ascii="Gungsuh" w:eastAsia="Gungsuh" w:hAnsi="Gungsuh" w:cs="Gungsuh"/>
              </w:rPr>
              <w:t>2008</w:t>
            </w:r>
            <w:r>
              <w:rPr>
                <w:rFonts w:ascii="Gungsuh" w:eastAsia="Gungsuh" w:hAnsi="Gungsuh" w:cs="Gungsuh"/>
              </w:rPr>
              <w:t>年，特</w:t>
            </w:r>
            <w:proofErr w:type="gramStart"/>
            <w:r>
              <w:rPr>
                <w:rFonts w:ascii="Gungsuh" w:eastAsia="Gungsuh" w:hAnsi="Gungsuh" w:cs="Gungsuh"/>
              </w:rPr>
              <w:t>偵</w:t>
            </w:r>
            <w:proofErr w:type="gramEnd"/>
            <w:r>
              <w:rPr>
                <w:rFonts w:ascii="Gungsuh" w:eastAsia="Gungsuh" w:hAnsi="Gungsuh" w:cs="Gungsuh"/>
              </w:rPr>
              <w:t>組調查認定王隆昌收受營造商的賄賂，然而本案並沒有客觀證據，沒有扣到</w:t>
            </w:r>
            <w:proofErr w:type="gramStart"/>
            <w:r>
              <w:rPr>
                <w:rFonts w:ascii="Gungsuh" w:eastAsia="Gungsuh" w:hAnsi="Gungsuh" w:cs="Gungsuh"/>
              </w:rPr>
              <w:t>帳</w:t>
            </w:r>
            <w:proofErr w:type="gramEnd"/>
            <w:r>
              <w:rPr>
                <w:rFonts w:ascii="Gungsuh" w:eastAsia="Gungsuh" w:hAnsi="Gungsuh" w:cs="Gungsuh"/>
              </w:rPr>
              <w:t>冊、沒有監聽譯文，沒有客觀可證明的見面或其他聯絡紀錄，王隆昌及其家人的帳戶也沒有異常金流，法院僅有污點證人時間地點反覆矛盾、匯款金額</w:t>
            </w:r>
            <w:proofErr w:type="gramStart"/>
            <w:r>
              <w:rPr>
                <w:rFonts w:ascii="Gungsuh" w:eastAsia="Gungsuh" w:hAnsi="Gungsuh" w:cs="Gungsuh"/>
              </w:rPr>
              <w:t>前後說詞不</w:t>
            </w:r>
            <w:proofErr w:type="gramEnd"/>
            <w:r>
              <w:rPr>
                <w:rFonts w:ascii="Gungsuh" w:eastAsia="Gungsuh" w:hAnsi="Gungsuh" w:cs="Gungsuh"/>
              </w:rPr>
              <w:t>一、疑點重重的證詞，就判決王隆昌犯不違背職務收賄罪，判刑</w:t>
            </w:r>
            <w:r>
              <w:rPr>
                <w:rFonts w:ascii="Gungsuh" w:eastAsia="Gungsuh" w:hAnsi="Gungsuh" w:cs="Gungsuh"/>
              </w:rPr>
              <w:t>7</w:t>
            </w:r>
            <w:r>
              <w:rPr>
                <w:rFonts w:ascii="Gungsuh" w:eastAsia="Gungsuh" w:hAnsi="Gungsuh" w:cs="Gungsuh"/>
              </w:rPr>
              <w:t>年</w:t>
            </w:r>
            <w:r>
              <w:rPr>
                <w:rFonts w:ascii="Gungsuh" w:eastAsia="Gungsuh" w:hAnsi="Gungsuh" w:cs="Gungsuh"/>
              </w:rPr>
              <w:t>8</w:t>
            </w:r>
            <w:r>
              <w:rPr>
                <w:rFonts w:ascii="Gungsuh" w:eastAsia="Gungsuh" w:hAnsi="Gungsuh" w:cs="Gungsuh"/>
              </w:rPr>
              <w:t>個月。具有王隆昌土木法規專業的王隆昌在</w:t>
            </w:r>
            <w:r>
              <w:rPr>
                <w:rFonts w:ascii="Gungsuh" w:eastAsia="Gungsuh" w:hAnsi="Gungsuh" w:cs="Gungsuh"/>
              </w:rPr>
              <w:t>2003</w:t>
            </w:r>
            <w:r>
              <w:rPr>
                <w:rFonts w:ascii="Gungsuh" w:eastAsia="Gungsuh" w:hAnsi="Gungsuh" w:cs="Gungsuh"/>
              </w:rPr>
              <w:t>年臨時遞補受聘為南港展覽館工程案</w:t>
            </w:r>
            <w:r>
              <w:rPr>
                <w:rFonts w:ascii="Gungsuh" w:eastAsia="Gungsuh" w:hAnsi="Gungsuh" w:cs="Gungsuh"/>
              </w:rPr>
              <w:t>17</w:t>
            </w:r>
            <w:r>
              <w:rPr>
                <w:rFonts w:ascii="Gungsuh" w:eastAsia="Gungsuh" w:hAnsi="Gungsuh" w:cs="Gungsuh"/>
              </w:rPr>
              <w:t>位評審委員之一，只參與一次評選建造南港展覽館廠商的會議，卻捲入貪污疑雲，至今仍苦等平反的到來。</w:t>
            </w:r>
          </w:p>
        </w:tc>
      </w:tr>
      <w:tr w:rsidR="00BB6F9D">
        <w:trPr>
          <w:trHeight w:val="440"/>
        </w:trPr>
        <w:tc>
          <w:tcPr>
            <w:tcW w:w="915" w:type="dxa"/>
            <w:vMerge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B6F9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ind w:left="9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蘇建和案</w:t>
            </w:r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r>
              <w:rPr>
                <w:rFonts w:ascii="Gungsuh" w:eastAsia="Gungsuh" w:hAnsi="Gungsuh" w:cs="Gungsuh"/>
              </w:rPr>
              <w:t>1991</w:t>
            </w:r>
            <w:r>
              <w:rPr>
                <w:rFonts w:ascii="Gungsuh" w:eastAsia="Gungsuh" w:hAnsi="Gungsuh" w:cs="Gungsuh"/>
              </w:rPr>
              <w:t>年</w:t>
            </w:r>
            <w:r>
              <w:rPr>
                <w:rFonts w:ascii="Gungsuh" w:eastAsia="Gungsuh" w:hAnsi="Gungsuh" w:cs="Gungsuh"/>
              </w:rPr>
              <w:t>3</w:t>
            </w:r>
            <w:r>
              <w:rPr>
                <w:rFonts w:ascii="Gungsuh" w:eastAsia="Gungsuh" w:hAnsi="Gungsuh" w:cs="Gungsuh"/>
              </w:rPr>
              <w:t>月</w:t>
            </w:r>
            <w:r>
              <w:rPr>
                <w:rFonts w:ascii="Gungsuh" w:eastAsia="Gungsuh" w:hAnsi="Gungsuh" w:cs="Gungsuh"/>
              </w:rPr>
              <w:t>24</w:t>
            </w:r>
            <w:r>
              <w:rPr>
                <w:rFonts w:ascii="Gungsuh" w:eastAsia="Gungsuh" w:hAnsi="Gungsuh" w:cs="Gungsuh"/>
              </w:rPr>
              <w:t>日汐止發生吳氏夫婦命案，檢察官僅以被告自白起訴蘇建和、劉秉郎、莊林勳等人，沒有附上任何證據，包括據以破案的指紋鑑定也消失無踪</w:t>
            </w:r>
            <w:r>
              <w:rPr>
                <w:rFonts w:ascii="Gungsuh" w:eastAsia="Gungsuh" w:hAnsi="Gungsuh" w:cs="Gungsuh"/>
              </w:rPr>
              <w:t>…</w:t>
            </w:r>
            <w:r>
              <w:rPr>
                <w:rFonts w:ascii="Gungsuh" w:eastAsia="Gungsuh" w:hAnsi="Gungsuh" w:cs="Gungsuh"/>
              </w:rPr>
              <w:t>，</w:t>
            </w:r>
            <w:r>
              <w:rPr>
                <w:rFonts w:ascii="Gungsuh" w:eastAsia="Gungsuh" w:hAnsi="Gungsuh" w:cs="Gungsuh"/>
              </w:rPr>
              <w:t>1995</w:t>
            </w:r>
            <w:r>
              <w:rPr>
                <w:rFonts w:ascii="Gungsuh" w:eastAsia="Gungsuh" w:hAnsi="Gungsuh" w:cs="Gungsuh"/>
              </w:rPr>
              <w:t>年</w:t>
            </w:r>
            <w:r>
              <w:rPr>
                <w:rFonts w:ascii="Gungsuh" w:eastAsia="Gungsuh" w:hAnsi="Gungsuh" w:cs="Gungsuh"/>
              </w:rPr>
              <w:t>2</w:t>
            </w:r>
            <w:r>
              <w:rPr>
                <w:rFonts w:ascii="Gungsuh" w:eastAsia="Gungsuh" w:hAnsi="Gungsuh" w:cs="Gungsuh"/>
              </w:rPr>
              <w:t>月</w:t>
            </w:r>
            <w:r>
              <w:rPr>
                <w:rFonts w:ascii="Gungsuh" w:eastAsia="Gungsuh" w:hAnsi="Gungsuh" w:cs="Gungsuh"/>
              </w:rPr>
              <w:t>4</w:t>
            </w:r>
            <w:r>
              <w:rPr>
                <w:rFonts w:ascii="Gungsuh" w:eastAsia="Gungsuh" w:hAnsi="Gungsuh" w:cs="Gungsuh"/>
              </w:rPr>
              <w:t>日蘇建和等三人死刑定讞。</w:t>
            </w:r>
            <w:r>
              <w:rPr>
                <w:rFonts w:ascii="Gungsuh" w:eastAsia="Gungsuh" w:hAnsi="Gungsuh" w:cs="Gungsuh"/>
              </w:rPr>
              <w:t>2000</w:t>
            </w:r>
            <w:r>
              <w:rPr>
                <w:rFonts w:ascii="Gungsuh" w:eastAsia="Gungsuh" w:hAnsi="Gungsuh" w:cs="Gungsuh"/>
              </w:rPr>
              <w:t>年</w:t>
            </w:r>
            <w:r>
              <w:rPr>
                <w:rFonts w:ascii="Gungsuh" w:eastAsia="Gungsuh" w:hAnsi="Gungsuh" w:cs="Gungsuh"/>
              </w:rPr>
              <w:t>5</w:t>
            </w:r>
            <w:r>
              <w:rPr>
                <w:rFonts w:ascii="Gungsuh" w:eastAsia="Gungsuh" w:hAnsi="Gungsuh" w:cs="Gungsuh"/>
              </w:rPr>
              <w:t>月</w:t>
            </w:r>
            <w:r>
              <w:rPr>
                <w:rFonts w:ascii="Gungsuh" w:eastAsia="Gungsuh" w:hAnsi="Gungsuh" w:cs="Gungsuh"/>
              </w:rPr>
              <w:t>18</w:t>
            </w:r>
            <w:r>
              <w:rPr>
                <w:rFonts w:ascii="Gungsuh" w:eastAsia="Gungsuh" w:hAnsi="Gungsuh" w:cs="Gungsuh"/>
              </w:rPr>
              <w:t>日高等法院裁定開始再審，此後歷經漫長艱辛的「再審無罪</w:t>
            </w:r>
            <w:r>
              <w:rPr>
                <w:rFonts w:ascii="Gungsuh" w:eastAsia="Gungsuh" w:hAnsi="Gungsuh" w:cs="Gungsuh"/>
              </w:rPr>
              <w:t>→</w:t>
            </w:r>
            <w:r>
              <w:rPr>
                <w:rFonts w:ascii="Gungsuh" w:eastAsia="Gungsuh" w:hAnsi="Gungsuh" w:cs="Gungsuh"/>
              </w:rPr>
              <w:t>發回更審</w:t>
            </w:r>
            <w:r>
              <w:rPr>
                <w:rFonts w:ascii="Gungsuh" w:eastAsia="Gungsuh" w:hAnsi="Gungsuh" w:cs="Gungsuh"/>
              </w:rPr>
              <w:t>→</w:t>
            </w:r>
            <w:r>
              <w:rPr>
                <w:rFonts w:ascii="Gungsuh" w:eastAsia="Gungsuh" w:hAnsi="Gungsuh" w:cs="Gungsuh"/>
              </w:rPr>
              <w:t>再更一審死刑</w:t>
            </w:r>
            <w:r>
              <w:rPr>
                <w:rFonts w:ascii="Gungsuh" w:eastAsia="Gungsuh" w:hAnsi="Gungsuh" w:cs="Gungsuh"/>
              </w:rPr>
              <w:t>→</w:t>
            </w:r>
            <w:r>
              <w:rPr>
                <w:rFonts w:ascii="Gungsuh" w:eastAsia="Gungsuh" w:hAnsi="Gungsuh" w:cs="Gungsuh"/>
              </w:rPr>
              <w:t>發回更審</w:t>
            </w:r>
            <w:r>
              <w:rPr>
                <w:rFonts w:ascii="Gungsuh" w:eastAsia="Gungsuh" w:hAnsi="Gungsuh" w:cs="Gungsuh"/>
              </w:rPr>
              <w:t>→</w:t>
            </w:r>
            <w:r>
              <w:rPr>
                <w:rFonts w:ascii="Gungsuh" w:eastAsia="Gungsuh" w:hAnsi="Gungsuh" w:cs="Gungsuh"/>
              </w:rPr>
              <w:t>再更二審無罪</w:t>
            </w:r>
            <w:r>
              <w:rPr>
                <w:rFonts w:ascii="Gungsuh" w:eastAsia="Gungsuh" w:hAnsi="Gungsuh" w:cs="Gungsuh"/>
              </w:rPr>
              <w:t>→</w:t>
            </w:r>
            <w:r>
              <w:rPr>
                <w:rFonts w:ascii="Gungsuh" w:eastAsia="Gungsuh" w:hAnsi="Gungsuh" w:cs="Gungsuh"/>
              </w:rPr>
              <w:t>發回更審」。</w:t>
            </w:r>
            <w:r>
              <w:rPr>
                <w:rFonts w:ascii="Gungsuh" w:eastAsia="Gungsuh" w:hAnsi="Gungsuh" w:cs="Gungsuh"/>
              </w:rPr>
              <w:t>2010</w:t>
            </w:r>
            <w:r>
              <w:rPr>
                <w:rFonts w:ascii="Gungsuh" w:eastAsia="Gungsuh" w:hAnsi="Gungsuh" w:cs="Gungsuh"/>
              </w:rPr>
              <w:t>年</w:t>
            </w:r>
            <w:r>
              <w:rPr>
                <w:rFonts w:ascii="Gungsuh" w:eastAsia="Gungsuh" w:hAnsi="Gungsuh" w:cs="Gungsuh"/>
              </w:rPr>
              <w:t>5</w:t>
            </w:r>
            <w:r>
              <w:rPr>
                <w:rFonts w:ascii="Gungsuh" w:eastAsia="Gungsuh" w:hAnsi="Gungsuh" w:cs="Gungsuh"/>
              </w:rPr>
              <w:t>月</w:t>
            </w:r>
            <w:r>
              <w:rPr>
                <w:rFonts w:ascii="Gungsuh" w:eastAsia="Gungsuh" w:hAnsi="Gungsuh" w:cs="Gungsuh"/>
              </w:rPr>
              <w:t>19</w:t>
            </w:r>
            <w:r>
              <w:rPr>
                <w:rFonts w:ascii="Gungsuh" w:eastAsia="Gungsuh" w:hAnsi="Gungsuh" w:cs="Gungsuh"/>
              </w:rPr>
              <w:t>日妥速審判法公佈，規定發回更審三次無罪者，檢方不得上訴最高法院。再更三審再獲無罪判決，全案無罪定</w:t>
            </w:r>
            <w:proofErr w:type="gramStart"/>
            <w:r>
              <w:rPr>
                <w:rFonts w:ascii="Gungsuh" w:eastAsia="Gungsuh" w:hAnsi="Gungsuh" w:cs="Gungsuh"/>
              </w:rPr>
              <w:t>讞</w:t>
            </w:r>
            <w:proofErr w:type="gramEnd"/>
            <w:r>
              <w:rPr>
                <w:rFonts w:ascii="Gungsuh" w:eastAsia="Gungsuh" w:hAnsi="Gungsuh" w:cs="Gungsuh"/>
              </w:rPr>
              <w:t>。</w:t>
            </w:r>
          </w:p>
        </w:tc>
      </w:tr>
      <w:tr w:rsidR="00BB6F9D">
        <w:trPr>
          <w:trHeight w:val="440"/>
        </w:trPr>
        <w:tc>
          <w:tcPr>
            <w:tcW w:w="915" w:type="dxa"/>
            <w:vMerge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B6F9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ind w:left="9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徐自強案</w:t>
            </w:r>
            <w:r>
              <w:rPr>
                <w:rFonts w:ascii="Gungsuh" w:eastAsia="Gungsuh" w:hAnsi="Gungsuh" w:cs="Gungsuh"/>
                <w:sz w:val="24"/>
                <w:szCs w:val="24"/>
              </w:rPr>
              <w:t xml:space="preserve"> </w:t>
            </w:r>
            <w:r>
              <w:rPr>
                <w:rFonts w:ascii="Gungsuh" w:eastAsia="Gungsuh" w:hAnsi="Gungsuh" w:cs="Gungsuh"/>
              </w:rPr>
              <w:t>徐自強歷經</w:t>
            </w:r>
            <w:r>
              <w:rPr>
                <w:rFonts w:ascii="Gungsuh" w:eastAsia="Gungsuh" w:hAnsi="Gungsuh" w:cs="Gungsuh"/>
              </w:rPr>
              <w:t>7</w:t>
            </w:r>
            <w:r>
              <w:rPr>
                <w:rFonts w:ascii="Gungsuh" w:eastAsia="Gungsuh" w:hAnsi="Gungsuh" w:cs="Gungsuh"/>
              </w:rPr>
              <w:t>次死刑、</w:t>
            </w:r>
            <w:r>
              <w:rPr>
                <w:rFonts w:ascii="Gungsuh" w:eastAsia="Gungsuh" w:hAnsi="Gungsuh" w:cs="Gungsuh"/>
              </w:rPr>
              <w:t>2</w:t>
            </w:r>
            <w:r>
              <w:rPr>
                <w:rFonts w:ascii="Gungsuh" w:eastAsia="Gungsuh" w:hAnsi="Gungsuh" w:cs="Gungsuh"/>
              </w:rPr>
              <w:t>次無期徒刑、</w:t>
            </w:r>
            <w:r>
              <w:rPr>
                <w:rFonts w:ascii="Gungsuh" w:eastAsia="Gungsuh" w:hAnsi="Gungsuh" w:cs="Gungsuh"/>
              </w:rPr>
              <w:t>1</w:t>
            </w:r>
            <w:r>
              <w:rPr>
                <w:rFonts w:ascii="Gungsuh" w:eastAsia="Gungsuh" w:hAnsi="Gungsuh" w:cs="Gungsuh"/>
              </w:rPr>
              <w:t>次大法官解釋、</w:t>
            </w:r>
            <w:r>
              <w:rPr>
                <w:rFonts w:ascii="Gungsuh" w:eastAsia="Gungsuh" w:hAnsi="Gungsuh" w:cs="Gungsuh"/>
              </w:rPr>
              <w:t>5</w:t>
            </w:r>
            <w:r>
              <w:rPr>
                <w:rFonts w:ascii="Gungsuh" w:eastAsia="Gungsuh" w:hAnsi="Gungsuh" w:cs="Gungsuh"/>
              </w:rPr>
              <w:t>次非常上</w:t>
            </w:r>
            <w:r>
              <w:rPr>
                <w:rFonts w:ascii="Gungsuh" w:eastAsia="Gungsuh" w:hAnsi="Gungsuh" w:cs="Gungsuh"/>
              </w:rPr>
              <w:t>訴，纏</w:t>
            </w:r>
            <w:proofErr w:type="gramStart"/>
            <w:r>
              <w:rPr>
                <w:rFonts w:ascii="Gungsuh" w:eastAsia="Gungsuh" w:hAnsi="Gungsuh" w:cs="Gungsuh"/>
              </w:rPr>
              <w:t>訟</w:t>
            </w:r>
            <w:proofErr w:type="gramEnd"/>
            <w:r>
              <w:rPr>
                <w:rFonts w:ascii="Gungsuh" w:eastAsia="Gungsuh" w:hAnsi="Gungsuh" w:cs="Gungsuh"/>
              </w:rPr>
              <w:t>20</w:t>
            </w:r>
            <w:r>
              <w:rPr>
                <w:rFonts w:ascii="Gungsuh" w:eastAsia="Gungsuh" w:hAnsi="Gungsuh" w:cs="Gungsuh"/>
              </w:rPr>
              <w:t>年。</w:t>
            </w:r>
            <w:r>
              <w:rPr>
                <w:rFonts w:ascii="Gungsuh" w:eastAsia="Gungsuh" w:hAnsi="Gungsuh" w:cs="Gungsuh"/>
              </w:rPr>
              <w:t>2016</w:t>
            </w:r>
            <w:r>
              <w:rPr>
                <w:rFonts w:ascii="Gungsuh" w:eastAsia="Gungsuh" w:hAnsi="Gungsuh" w:cs="Gungsuh"/>
              </w:rPr>
              <w:t>年</w:t>
            </w:r>
            <w:r>
              <w:rPr>
                <w:rFonts w:ascii="Gungsuh" w:eastAsia="Gungsuh" w:hAnsi="Gungsuh" w:cs="Gungsuh"/>
              </w:rPr>
              <w:t>10</w:t>
            </w:r>
            <w:r>
              <w:rPr>
                <w:rFonts w:ascii="Gungsuh" w:eastAsia="Gungsuh" w:hAnsi="Gungsuh" w:cs="Gungsuh"/>
              </w:rPr>
              <w:t>月</w:t>
            </w:r>
            <w:r>
              <w:rPr>
                <w:rFonts w:ascii="Gungsuh" w:eastAsia="Gungsuh" w:hAnsi="Gungsuh" w:cs="Gungsuh"/>
              </w:rPr>
              <w:t>13</w:t>
            </w:r>
            <w:r>
              <w:rPr>
                <w:rFonts w:ascii="Gungsuh" w:eastAsia="Gungsuh" w:hAnsi="Gungsuh" w:cs="Gungsuh"/>
              </w:rPr>
              <w:t>日，最高法院判決駁回檢方上訴，無罪確定，徐自強終於走完這一條司法正義的道路。</w:t>
            </w:r>
          </w:p>
        </w:tc>
      </w:tr>
      <w:tr w:rsidR="00BB6F9D">
        <w:trPr>
          <w:trHeight w:val="440"/>
        </w:trPr>
        <w:tc>
          <w:tcPr>
            <w:tcW w:w="915" w:type="dxa"/>
            <w:vMerge w:val="restart"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議題</w:t>
            </w:r>
          </w:p>
        </w:tc>
        <w:tc>
          <w:tcPr>
            <w:tcW w:w="88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人民參與審判制度（國民法官法）</w:t>
            </w:r>
          </w:p>
          <w:p w:rsidR="00BB6F9D" w:rsidRDefault="00B803AE">
            <w:pPr>
              <w:spacing w:line="240" w:lineRule="auto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>國民法官來了！想知道如何當個有批判能力的國民法官嗎？</w:t>
            </w:r>
            <w:r>
              <w:rPr>
                <w:rFonts w:ascii="Gungsuh" w:eastAsia="Gungsuh" w:hAnsi="Gungsuh" w:cs="Gungsuh"/>
              </w:rPr>
              <w:br/>
            </w:r>
            <w:r>
              <w:rPr>
                <w:rFonts w:ascii="Gungsuh" w:eastAsia="Gungsuh" w:hAnsi="Gungsuh" w:cs="Gungsuh"/>
              </w:rPr>
              <w:t>陪審團？參審制？國民法官？各國人民參與審判制度各有不同，不同在哪呢？又各有</w:t>
            </w:r>
            <w:proofErr w:type="gramStart"/>
            <w:r>
              <w:rPr>
                <w:rFonts w:ascii="Gungsuh" w:eastAsia="Gungsuh" w:hAnsi="Gungsuh" w:cs="Gungsuh"/>
              </w:rPr>
              <w:t>什麼優缺</w:t>
            </w:r>
            <w:proofErr w:type="gramEnd"/>
            <w:r>
              <w:rPr>
                <w:rFonts w:ascii="Gungsuh" w:eastAsia="Gungsuh" w:hAnsi="Gungsuh" w:cs="Gungsuh"/>
              </w:rPr>
              <w:t>？</w:t>
            </w:r>
            <w:r>
              <w:rPr>
                <w:rFonts w:ascii="Gungsuh" w:eastAsia="Gungsuh" w:hAnsi="Gungsuh" w:cs="Gungsuh"/>
              </w:rPr>
              <w:br/>
            </w:r>
            <w:r>
              <w:rPr>
                <w:rFonts w:ascii="Gungsuh" w:eastAsia="Gungsuh" w:hAnsi="Gungsuh" w:cs="Gungsuh"/>
              </w:rPr>
              <w:t>我國</w:t>
            </w:r>
            <w:r>
              <w:rPr>
                <w:rFonts w:ascii="Gungsuh" w:eastAsia="Gungsuh" w:hAnsi="Gungsuh" w:cs="Gungsuh"/>
              </w:rPr>
              <w:t>2023</w:t>
            </w:r>
            <w:r>
              <w:rPr>
                <w:rFonts w:ascii="Gungsuh" w:eastAsia="Gungsuh" w:hAnsi="Gungsuh" w:cs="Gungsuh"/>
              </w:rPr>
              <w:t>年正式施行的國民法官法制度怎麼進行？每</w:t>
            </w:r>
            <w:proofErr w:type="gramStart"/>
            <w:r>
              <w:rPr>
                <w:rFonts w:ascii="Gungsuh" w:eastAsia="Gungsuh" w:hAnsi="Gungsuh" w:cs="Gungsuh"/>
              </w:rPr>
              <w:t>個</w:t>
            </w:r>
            <w:proofErr w:type="gramEnd"/>
            <w:r>
              <w:rPr>
                <w:rFonts w:ascii="Gungsuh" w:eastAsia="Gungsuh" w:hAnsi="Gungsuh" w:cs="Gungsuh"/>
              </w:rPr>
              <w:t>程序的內容是什麼？讓</w:t>
            </w:r>
            <w:proofErr w:type="gramStart"/>
            <w:r>
              <w:rPr>
                <w:rFonts w:ascii="Gungsuh" w:eastAsia="Gungsuh" w:hAnsi="Gungsuh" w:cs="Gungsuh"/>
              </w:rPr>
              <w:t>我們說給你</w:t>
            </w:r>
            <w:proofErr w:type="gramEnd"/>
            <w:r>
              <w:rPr>
                <w:rFonts w:ascii="Gungsuh" w:eastAsia="Gungsuh" w:hAnsi="Gungsuh" w:cs="Gungsuh"/>
              </w:rPr>
              <w:t>聽。</w:t>
            </w:r>
            <w:r>
              <w:rPr>
                <w:rFonts w:ascii="Gungsuh" w:eastAsia="Gungsuh" w:hAnsi="Gungsuh" w:cs="Gungsuh"/>
              </w:rPr>
              <w:br/>
            </w:r>
            <w:r>
              <w:rPr>
                <w:rFonts w:ascii="Gungsuh" w:eastAsia="Gungsuh" w:hAnsi="Gungsuh" w:cs="Gungsuh"/>
              </w:rPr>
              <w:br/>
            </w:r>
            <w:r>
              <w:rPr>
                <w:rFonts w:ascii="Gungsuh" w:eastAsia="Gungsuh" w:hAnsi="Gungsuh" w:cs="Gungsuh"/>
              </w:rPr>
              <w:t>本講題也可以結合【國民法官模擬法庭】成為系列活動，可參考：</w:t>
            </w:r>
            <w:r>
              <w:rPr>
                <w:rFonts w:ascii="Gungsuh" w:eastAsia="Gungsuh" w:hAnsi="Gungsuh" w:cs="Gungsuh"/>
              </w:rPr>
              <w:t>https://www.jrf.org.tw/keywords/2</w:t>
            </w:r>
          </w:p>
        </w:tc>
      </w:tr>
      <w:tr w:rsidR="00BB6F9D">
        <w:trPr>
          <w:trHeight w:val="440"/>
        </w:trPr>
        <w:tc>
          <w:tcPr>
            <w:tcW w:w="915" w:type="dxa"/>
            <w:vMerge/>
            <w:tcBorders>
              <w:top w:val="single" w:sz="8" w:space="0" w:color="BDC1C6"/>
              <w:left w:val="nil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B6F9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5" w:type="dxa"/>
            <w:tcBorders>
              <w:top w:val="single" w:sz="8" w:space="0" w:color="BDC1C6"/>
              <w:left w:val="single" w:sz="8" w:space="0" w:color="BDC1C6"/>
              <w:bottom w:val="single" w:sz="8" w:space="0" w:color="BDC1C6"/>
              <w:right w:val="single" w:sz="8" w:space="0" w:color="BDC1C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F9D" w:rsidRDefault="00B803AE">
            <w:pPr>
              <w:widowControl w:val="0"/>
              <w:spacing w:line="240" w:lineRule="auto"/>
              <w:ind w:lef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冤案平反的社會行動</w:t>
            </w:r>
            <w:r>
              <w:rPr>
                <w:rFonts w:ascii="Gungsuh" w:eastAsia="Gungsuh" w:hAnsi="Gungsuh" w:cs="Gungsuh"/>
                <w:sz w:val="24"/>
                <w:szCs w:val="24"/>
              </w:rPr>
              <w:br/>
            </w:r>
            <w:r>
              <w:rPr>
                <w:rFonts w:ascii="Gungsuh" w:eastAsia="Gungsuh" w:hAnsi="Gungsuh" w:cs="Gungsuh"/>
              </w:rPr>
              <w:lastRenderedPageBreak/>
              <w:t>在司法裡受委曲的何其多，我們長期進行</w:t>
            </w:r>
            <w:proofErr w:type="gramStart"/>
            <w:r>
              <w:rPr>
                <w:rFonts w:ascii="Gungsuh" w:eastAsia="Gungsuh" w:hAnsi="Gungsuh" w:cs="Gungsuh"/>
              </w:rPr>
              <w:t>冤</w:t>
            </w:r>
            <w:proofErr w:type="gramEnd"/>
            <w:r>
              <w:rPr>
                <w:rFonts w:ascii="Gungsuh" w:eastAsia="Gungsuh" w:hAnsi="Gungsuh" w:cs="Gungsuh"/>
              </w:rPr>
              <w:t>錯案的救援平反，相對於國家機器，資源微薄的民間組織如何協助一件件的冤案呢？又遇過哪些挫折？司改會經驗分享。</w:t>
            </w:r>
          </w:p>
        </w:tc>
      </w:tr>
    </w:tbl>
    <w:p w:rsidR="00BB6F9D" w:rsidRDefault="00B803A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lastRenderedPageBreak/>
        <w:br/>
      </w:r>
      <w:r>
        <w:rPr>
          <w:rFonts w:ascii="Gungsuh" w:eastAsia="Gungsuh" w:hAnsi="Gungsuh" w:cs="Gungsuh"/>
          <w:sz w:val="24"/>
          <w:szCs w:val="24"/>
        </w:rPr>
        <w:t>還有更多個案及議題的選項，</w:t>
      </w:r>
      <w:r>
        <w:rPr>
          <w:rFonts w:ascii="Gungsuh" w:eastAsia="Gungsuh" w:hAnsi="Gungsuh" w:cs="Gungsuh"/>
          <w:b/>
          <w:sz w:val="26"/>
          <w:szCs w:val="26"/>
        </w:rPr>
        <w:t>完整資訊請參見民間司改會網頁：</w:t>
      </w:r>
      <w:hyperlink r:id="rId7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https://www.jrf.org.tw/keywords/84</w:t>
        </w:r>
      </w:hyperlink>
    </w:p>
    <w:p w:rsidR="00BB6F9D" w:rsidRDefault="00B803AE">
      <w:pPr>
        <w:pStyle w:val="1"/>
        <w:spacing w:before="360" w:after="360"/>
        <w:rPr>
          <w:rFonts w:ascii="Times New Roman" w:eastAsia="Times New Roman" w:hAnsi="Times New Roman" w:cs="Times New Roman"/>
        </w:rPr>
      </w:pPr>
      <w:bookmarkStart w:id="6" w:name="_okmxvf2hgo20" w:colFirst="0" w:colLast="0"/>
      <w:bookmarkEnd w:id="6"/>
      <w:r>
        <w:rPr>
          <w:rFonts w:ascii="Gungsuh" w:eastAsia="Gungsuh" w:hAnsi="Gungsuh" w:cs="Gungsuh"/>
        </w:rPr>
        <w:t>三、活動對象</w:t>
      </w:r>
    </w:p>
    <w:p w:rsidR="00BB6F9D" w:rsidRDefault="00B803AE">
      <w:pPr>
        <w:spacing w:before="360" w:after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適合高中職以上學生，不限於法政領域，歡迎通識課程以及非法律相關領域與我們聯繫合作。歡迎申請合作校園課程活動，將司法改革案例及議題的價值思辨帶入校園中。</w:t>
      </w:r>
    </w:p>
    <w:p w:rsidR="00BB6F9D" w:rsidRDefault="00B803AE">
      <w:pPr>
        <w:pStyle w:val="1"/>
        <w:spacing w:before="360" w:after="200"/>
        <w:rPr>
          <w:rFonts w:ascii="Times New Roman" w:eastAsia="Times New Roman" w:hAnsi="Times New Roman" w:cs="Times New Roman"/>
        </w:rPr>
      </w:pPr>
      <w:bookmarkStart w:id="7" w:name="_17mpsekg6mf4" w:colFirst="0" w:colLast="0"/>
      <w:bookmarkEnd w:id="7"/>
      <w:r>
        <w:rPr>
          <w:rFonts w:ascii="Gungsuh" w:eastAsia="Gungsuh" w:hAnsi="Gungsuh" w:cs="Gungsuh"/>
        </w:rPr>
        <w:t>四、申請方式</w:t>
      </w:r>
    </w:p>
    <w:p w:rsidR="00BB6F9D" w:rsidRDefault="00B803AE">
      <w:pPr>
        <w:pStyle w:val="4"/>
        <w:spacing w:before="0" w:after="360"/>
        <w:rPr>
          <w:color w:val="000000"/>
        </w:rPr>
      </w:pPr>
      <w:bookmarkStart w:id="8" w:name="_mtp1955dbhh5" w:colFirst="0" w:colLast="0"/>
      <w:bookmarkEnd w:id="8"/>
      <w:r>
        <w:rPr>
          <w:rFonts w:ascii="Arial Unicode MS" w:eastAsia="Arial Unicode MS" w:hAnsi="Arial Unicode MS" w:cs="Arial Unicode MS"/>
          <w:color w:val="000000"/>
        </w:rPr>
        <w:t>（一）國民法官模擬法庭申請合作網址：</w:t>
      </w:r>
      <w:hyperlink r:id="rId8">
        <w:r>
          <w:rPr>
            <w:color w:val="000000"/>
            <w:u w:val="single"/>
          </w:rPr>
          <w:t>https://www.jrf.org.tw/keywords/2</w:t>
        </w:r>
      </w:hyperlink>
    </w:p>
    <w:p w:rsidR="00BB6F9D" w:rsidRDefault="00B803AE">
      <w:pPr>
        <w:pStyle w:val="4"/>
        <w:spacing w:before="0" w:after="360"/>
        <w:rPr>
          <w:color w:val="000000"/>
        </w:rPr>
      </w:pPr>
      <w:bookmarkStart w:id="9" w:name="_bpoho0au579w" w:colFirst="0" w:colLast="0"/>
      <w:bookmarkEnd w:id="9"/>
      <w:r>
        <w:rPr>
          <w:rFonts w:ascii="Arial Unicode MS" w:eastAsia="Arial Unicode MS" w:hAnsi="Arial Unicode MS" w:cs="Arial Unicode MS"/>
          <w:color w:val="000000"/>
        </w:rPr>
        <w:t>（二）陪審制模擬法庭申請合作網址：</w:t>
      </w:r>
      <w:hyperlink r:id="rId9" w:anchor="form">
        <w:r>
          <w:rPr>
            <w:color w:val="000000"/>
            <w:u w:val="single"/>
          </w:rPr>
          <w:t>https://edu.jrf.org.tw/lawyer.html#form</w:t>
        </w:r>
      </w:hyperlink>
    </w:p>
    <w:p w:rsidR="00BB6F9D" w:rsidRDefault="00B803AE">
      <w:pPr>
        <w:pStyle w:val="4"/>
        <w:spacing w:before="0" w:after="360"/>
        <w:rPr>
          <w:color w:val="000000"/>
        </w:rPr>
      </w:pPr>
      <w:bookmarkStart w:id="10" w:name="_hoblqbax002e" w:colFirst="0" w:colLast="0"/>
      <w:bookmarkEnd w:id="10"/>
      <w:r>
        <w:rPr>
          <w:rFonts w:ascii="Arial Unicode MS" w:eastAsia="Arial Unicode MS" w:hAnsi="Arial Unicode MS" w:cs="Arial Unicode MS"/>
          <w:color w:val="000000"/>
        </w:rPr>
        <w:t>（三）講座申請合作網址：</w:t>
      </w:r>
      <w:hyperlink r:id="rId10">
        <w:r>
          <w:rPr>
            <w:color w:val="000000"/>
            <w:u w:val="single"/>
          </w:rPr>
          <w:t>https://www.jrf.org.tw/keywords/84</w:t>
        </w:r>
        <w:r>
          <w:rPr>
            <w:color w:val="000000"/>
            <w:u w:val="single"/>
          </w:rPr>
          <w:t>）</w:t>
        </w:r>
      </w:hyperlink>
    </w:p>
    <w:p w:rsidR="00BB6F9D" w:rsidRDefault="00B803AE">
      <w:pPr>
        <w:pStyle w:val="4"/>
        <w:spacing w:before="0"/>
        <w:rPr>
          <w:color w:val="000000"/>
        </w:rPr>
      </w:pPr>
      <w:bookmarkStart w:id="11" w:name="_3r4wstguy4kw" w:colFirst="0" w:colLast="0"/>
      <w:bookmarkEnd w:id="11"/>
      <w:r>
        <w:rPr>
          <w:rFonts w:ascii="Arial Unicode MS" w:eastAsia="Arial Unicode MS" w:hAnsi="Arial Unicode MS" w:cs="Arial Unicode MS"/>
          <w:color w:val="000000"/>
        </w:rPr>
        <w:t>（四）</w:t>
      </w:r>
      <w:r>
        <w:rPr>
          <w:rFonts w:ascii="Arial Unicode MS" w:eastAsia="Arial Unicode MS" w:hAnsi="Arial Unicode MS" w:cs="Arial Unicode MS"/>
          <w:color w:val="000000"/>
        </w:rPr>
        <w:t>若有相關問題，敬請聯繫本計畫聯絡人潘蓓臻</w:t>
      </w:r>
      <w:proofErr w:type="gramStart"/>
      <w:r>
        <w:rPr>
          <w:rFonts w:ascii="Arial Unicode MS" w:eastAsia="Arial Unicode MS" w:hAnsi="Arial Unicode MS" w:cs="Arial Unicode MS"/>
          <w:color w:val="000000"/>
        </w:rPr>
        <w:t>（</w:t>
      </w:r>
      <w:proofErr w:type="gramEnd"/>
      <w:r>
        <w:rPr>
          <w:rFonts w:ascii="Arial Unicode MS" w:eastAsia="Arial Unicode MS" w:hAnsi="Arial Unicode MS" w:cs="Arial Unicode MS"/>
          <w:color w:val="000000"/>
        </w:rPr>
        <w:t>司改會法治教育經理，</w:t>
      </w:r>
      <w:r>
        <w:rPr>
          <w:rFonts w:ascii="Arial Unicode MS" w:eastAsia="Arial Unicode MS" w:hAnsi="Arial Unicode MS" w:cs="Arial Unicode MS"/>
          <w:color w:val="000000"/>
        </w:rPr>
        <w:t>02-25231178</w:t>
      </w:r>
      <w:r>
        <w:rPr>
          <w:rFonts w:ascii="Arial Unicode MS" w:eastAsia="Arial Unicode MS" w:hAnsi="Arial Unicode MS" w:cs="Arial Unicode MS"/>
          <w:color w:val="000000"/>
        </w:rPr>
        <w:t>＊</w:t>
      </w:r>
      <w:r>
        <w:rPr>
          <w:rFonts w:ascii="Arial Unicode MS" w:eastAsia="Arial Unicode MS" w:hAnsi="Arial Unicode MS" w:cs="Arial Unicode MS"/>
          <w:color w:val="000000"/>
        </w:rPr>
        <w:t>16</w:t>
      </w:r>
      <w:r>
        <w:rPr>
          <w:rFonts w:ascii="Arial Unicode MS" w:eastAsia="Arial Unicode MS" w:hAnsi="Arial Unicode MS" w:cs="Arial Unicode MS"/>
          <w:color w:val="000000"/>
        </w:rPr>
        <w:t>，</w:t>
      </w:r>
      <w:hyperlink r:id="rId11">
        <w:r>
          <w:rPr>
            <w:color w:val="000000"/>
            <w:u w:val="single"/>
          </w:rPr>
          <w:t>pbz@jrf.org.tw</w:t>
        </w:r>
      </w:hyperlink>
      <w:proofErr w:type="gramStart"/>
      <w:r>
        <w:rPr>
          <w:rFonts w:ascii="Arial Unicode MS" w:eastAsia="Arial Unicode MS" w:hAnsi="Arial Unicode MS" w:cs="Arial Unicode MS"/>
          <w:color w:val="000000"/>
        </w:rPr>
        <w:t>）</w:t>
      </w:r>
      <w:proofErr w:type="gramEnd"/>
    </w:p>
    <w:p w:rsidR="00BB6F9D" w:rsidRDefault="00B803AE">
      <w:pPr>
        <w:pStyle w:val="1"/>
        <w:rPr>
          <w:rFonts w:ascii="Times New Roman" w:eastAsia="Times New Roman" w:hAnsi="Times New Roman" w:cs="Times New Roman"/>
        </w:rPr>
      </w:pPr>
      <w:bookmarkStart w:id="12" w:name="_ahmnin4m8skw" w:colFirst="0" w:colLast="0"/>
      <w:bookmarkEnd w:id="12"/>
      <w:r>
        <w:rPr>
          <w:rFonts w:ascii="Gungsuh" w:eastAsia="Gungsuh" w:hAnsi="Gungsuh" w:cs="Gungsuh"/>
        </w:rPr>
        <w:t>五、所需費用</w:t>
      </w:r>
    </w:p>
    <w:p w:rsidR="00BB6F9D" w:rsidRDefault="00B803A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（一）本會為民間團體、非營利組織，人力、資源有限，運作經費皆為自籌，不向政府申請經費以確保監督司法改革之獨立性。</w:t>
      </w:r>
    </w:p>
    <w:p w:rsidR="00BB6F9D" w:rsidRDefault="00B803A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（二）議題講座的講師安排，多為外部專家學者，講師費／交通費將於講座當日提供給講師，本會</w:t>
      </w:r>
      <w:proofErr w:type="gramStart"/>
      <w:r>
        <w:rPr>
          <w:rFonts w:ascii="Gungsuh" w:eastAsia="Gungsuh" w:hAnsi="Gungsuh" w:cs="Gungsuh"/>
          <w:sz w:val="24"/>
          <w:szCs w:val="24"/>
        </w:rPr>
        <w:t>不</w:t>
      </w:r>
      <w:proofErr w:type="gramEnd"/>
      <w:r>
        <w:rPr>
          <w:rFonts w:ascii="Gungsuh" w:eastAsia="Gungsuh" w:hAnsi="Gungsuh" w:cs="Gungsuh"/>
          <w:sz w:val="24"/>
          <w:szCs w:val="24"/>
        </w:rPr>
        <w:t>經手</w:t>
      </w:r>
      <w:proofErr w:type="gramStart"/>
      <w:r>
        <w:rPr>
          <w:rFonts w:ascii="Gungsuh" w:eastAsia="Gungsuh" w:hAnsi="Gungsuh" w:cs="Gungsuh"/>
          <w:sz w:val="24"/>
          <w:szCs w:val="24"/>
        </w:rPr>
        <w:t>提</w:t>
      </w:r>
      <w:proofErr w:type="gramEnd"/>
      <w:r>
        <w:rPr>
          <w:rFonts w:ascii="Gungsuh" w:eastAsia="Gungsuh" w:hAnsi="Gungsuh" w:cs="Gungsuh"/>
          <w:sz w:val="24"/>
          <w:szCs w:val="24"/>
        </w:rPr>
        <w:t>撥費用。</w:t>
      </w:r>
    </w:p>
    <w:p w:rsidR="00BB6F9D" w:rsidRDefault="00B803A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（三）洽談合作場次仍需視會內資源與人力安排，敬請見諒。若您或所屬單位對本計畫的合作有興趣，歡迎聯繫我們洽詢執行面的有關事項。</w:t>
      </w:r>
    </w:p>
    <w:p w:rsidR="00BB6F9D" w:rsidRDefault="00B803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114300" distB="114300" distL="114300" distR="114300">
            <wp:extent cx="2562584" cy="2189392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584" cy="2189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F9D" w:rsidRDefault="00BB6F9D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B6F9D" w:rsidRDefault="00BB6F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6F9D" w:rsidRDefault="00BB6F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B6F9D">
      <w:foot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AE" w:rsidRDefault="00B803AE">
      <w:pPr>
        <w:spacing w:line="240" w:lineRule="auto"/>
      </w:pPr>
      <w:r>
        <w:separator/>
      </w:r>
    </w:p>
  </w:endnote>
  <w:endnote w:type="continuationSeparator" w:id="0">
    <w:p w:rsidR="00B803AE" w:rsidRDefault="00B80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F9D" w:rsidRDefault="00B803AE">
    <w:pPr>
      <w:jc w:val="center"/>
    </w:pPr>
    <w:r>
      <w:fldChar w:fldCharType="begin"/>
    </w:r>
    <w:r>
      <w:instrText>PAGE</w:instrText>
    </w:r>
    <w:r w:rsidR="00F57847">
      <w:fldChar w:fldCharType="separate"/>
    </w:r>
    <w:r w:rsidR="00F5784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AE" w:rsidRDefault="00B803AE">
      <w:pPr>
        <w:spacing w:line="240" w:lineRule="auto"/>
      </w:pPr>
      <w:r>
        <w:separator/>
      </w:r>
    </w:p>
  </w:footnote>
  <w:footnote w:type="continuationSeparator" w:id="0">
    <w:p w:rsidR="00B803AE" w:rsidRDefault="00B803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D"/>
    <w:rsid w:val="00B803AE"/>
    <w:rsid w:val="00BB6F9D"/>
    <w:rsid w:val="00F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82BBE6-AF3B-4C2E-8C25-CC537DD9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F57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78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7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78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rf.org.tw/keywords/2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jrf.org.tw/keywords/84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bz@jrf.org.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jrf.org.tw/keywords/84%EF%BC%89%E3%80%8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.jrf.org.tw/lawy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2024-01-31T03:02:00Z</dcterms:created>
  <dcterms:modified xsi:type="dcterms:W3CDTF">2024-01-31T03:02:00Z</dcterms:modified>
</cp:coreProperties>
</file>